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华北地质勘查局职工大学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华北地质勘查局职工大学</w:t>
      </w:r>
      <w:r>
        <w:rPr>
          <w:rFonts w:ascii="仿宋_GB2312" w:eastAsia="仿宋_GB2312" w:hint="eastAsia"/>
          <w:sz w:val="30"/>
          <w:szCs w:val="30"/>
        </w:rPr>
        <w:t xml:space="preserve">的主要职责是：</w:t>
      </w:r>
      <w:r>
        <w:rPr>
          <w:rFonts w:ascii="仿宋_GB2312" w:eastAsia="仿宋_GB2312" w:hint="eastAsia"/>
          <w:sz w:val="30"/>
          <w:szCs w:val="30"/>
        </w:rPr>
        <w:t xml:space="preserve">负责全局在职职工教育培训工作，承担有关地质找矿专业技工继续教育</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华北地质勘查局职工大学内设10个职能部门，下辖0个预算单位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华北地质勘查局职工大学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1.华北地质勘查局职工大学</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5,913,000.00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5,260,150.75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770,000.00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200,000.00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334,671.83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6,247,671.83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6,230,150.75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17,521.08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6,247,671.83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6,247,671.83</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6,247,671.83</w:t>
            </w:r>
          </w:p>
        </w:tc>
        <w:tc>
          <w:tcPr>
            <w:tcW w:w="1240" w:type="dxa"/>
            <w:tcBorders/>
            <w:vAlign w:val="center"/>
          </w:tcPr>
          <w:p>
            <w:pPr>
              <w:snapToGrid w:val="0"/>
              <w:jc w:val="right"/>
            </w:pPr>
            <w:r>
              <w:rPr>
                <w:rFonts w:ascii="宋体" w:eastAsia="宋体" w:hAnsi="宋体" w:cs="宋体"/>
                <w:b w:val="0"/>
                <w:i w:val="0"/>
                <w:color w:val="000000"/>
                <w:sz w:val="14"/>
              </w:rPr>
              <w:t xml:space="preserve">5,913,000.00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334,671.83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5,277,671.83</w:t>
            </w:r>
          </w:p>
        </w:tc>
        <w:tc>
          <w:tcPr>
            <w:tcW w:w="1240" w:type="dxa"/>
            <w:tcBorders/>
            <w:vAlign w:val="center"/>
          </w:tcPr>
          <w:p>
            <w:pPr>
              <w:snapToGrid w:val="0"/>
              <w:jc w:val="right"/>
            </w:pPr>
            <w:r>
              <w:rPr>
                <w:rFonts w:ascii="宋体" w:eastAsia="宋体" w:hAnsi="宋体" w:cs="宋体"/>
                <w:b w:val="0"/>
                <w:i w:val="0"/>
                <w:color w:val="000000"/>
                <w:sz w:val="14"/>
              </w:rPr>
              <w:t xml:space="preserve">4,943,000.00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334,671.83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20501</w:t>
            </w:r>
          </w:p>
        </w:tc>
        <w:tc>
          <w:tcPr>
            <w:tcW w:w="2520" w:type="dxa"/>
            <w:tcBorders/>
            <w:vAlign w:val="center"/>
          </w:tcPr>
          <w:p>
            <w:pPr>
              <w:snapToGrid w:val="0"/>
              <w:jc w:val="left"/>
            </w:pPr>
            <w:r>
              <w:rPr>
                <w:rFonts w:ascii="宋体" w:eastAsia="宋体" w:hAnsi="宋体" w:cs="宋体"/>
                <w:b w:val="0"/>
                <w:i w:val="0"/>
                <w:color w:val="000000"/>
                <w:sz w:val="14"/>
              </w:rPr>
              <w:t xml:space="preserve">教育管理事务</w:t>
            </w:r>
          </w:p>
        </w:tc>
        <w:tc>
          <w:tcPr>
            <w:tcW w:w="1240" w:type="dxa"/>
            <w:tcBorders/>
            <w:vAlign w:val="center"/>
          </w:tcPr>
          <w:p>
            <w:pPr>
              <w:snapToGrid w:val="0"/>
              <w:jc w:val="right"/>
            </w:pPr>
            <w:r>
              <w:rPr>
                <w:rFonts w:ascii="宋体" w:eastAsia="宋体" w:hAnsi="宋体" w:cs="宋体"/>
                <w:b w:val="0"/>
                <w:i w:val="0"/>
                <w:color w:val="000000"/>
                <w:sz w:val="14"/>
              </w:rPr>
              <w:t xml:space="preserve">5,277,671.83</w:t>
            </w:r>
          </w:p>
        </w:tc>
        <w:tc>
          <w:tcPr>
            <w:tcW w:w="1240" w:type="dxa"/>
            <w:tcBorders/>
            <w:vAlign w:val="center"/>
          </w:tcPr>
          <w:p>
            <w:pPr>
              <w:snapToGrid w:val="0"/>
              <w:jc w:val="right"/>
            </w:pPr>
            <w:r>
              <w:rPr>
                <w:rFonts w:ascii="宋体" w:eastAsia="宋体" w:hAnsi="宋体" w:cs="宋体"/>
                <w:b w:val="0"/>
                <w:i w:val="0"/>
                <w:color w:val="000000"/>
                <w:sz w:val="14"/>
              </w:rPr>
              <w:t xml:space="preserve">4,943,000.00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334,671.83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2050199</w:t>
            </w:r>
          </w:p>
        </w:tc>
        <w:tc>
          <w:tcPr>
            <w:tcW w:w="2520" w:type="dxa"/>
            <w:tcBorders/>
            <w:vAlign w:val="center"/>
          </w:tcPr>
          <w:p>
            <w:pPr>
              <w:snapToGrid w:val="0"/>
              <w:jc w:val="left"/>
            </w:pPr>
            <w:r>
              <w:rPr>
                <w:rFonts w:ascii="宋体" w:eastAsia="宋体" w:hAnsi="宋体" w:cs="宋体"/>
                <w:b w:val="0"/>
                <w:i w:val="0"/>
                <w:color w:val="000000"/>
                <w:sz w:val="14"/>
              </w:rPr>
              <w:t xml:space="preserve">其他教育管理事务支出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5,277,671.83</w:t>
            </w:r>
          </w:p>
        </w:tc>
        <w:tc>
          <w:tcPr>
            <w:tcW w:w="1240" w:type="dxa"/>
            <w:tcBorders/>
            <w:vAlign w:val="center"/>
          </w:tcPr>
          <w:p>
            <w:pPr>
              <w:snapToGrid w:val="0"/>
              <w:jc w:val="right"/>
            </w:pPr>
            <w:r>
              <w:rPr>
                <w:rFonts w:ascii="宋体" w:eastAsia="宋体" w:hAnsi="宋体" w:cs="宋体"/>
                <w:b w:val="0"/>
                <w:i w:val="0"/>
                <w:color w:val="000000"/>
                <w:sz w:val="14"/>
              </w:rPr>
              <w:t xml:space="preserve">4,943,000.00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334,671.83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770,000.00</w:t>
            </w:r>
          </w:p>
        </w:tc>
        <w:tc>
          <w:tcPr>
            <w:tcW w:w="1240" w:type="dxa"/>
            <w:tcBorders/>
            <w:vAlign w:val="center"/>
          </w:tcPr>
          <w:p>
            <w:pPr>
              <w:snapToGrid w:val="0"/>
              <w:jc w:val="right"/>
            </w:pPr>
            <w:r>
              <w:rPr>
                <w:rFonts w:ascii="宋体" w:eastAsia="宋体" w:hAnsi="宋体" w:cs="宋体"/>
                <w:b w:val="0"/>
                <w:i w:val="0"/>
                <w:color w:val="000000"/>
                <w:sz w:val="14"/>
              </w:rPr>
              <w:t xml:space="preserve">770,000.00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770,000.00</w:t>
            </w:r>
          </w:p>
        </w:tc>
        <w:tc>
          <w:tcPr>
            <w:tcW w:w="1240" w:type="dxa"/>
            <w:tcBorders/>
            <w:vAlign w:val="center"/>
          </w:tcPr>
          <w:p>
            <w:pPr>
              <w:snapToGrid w:val="0"/>
              <w:jc w:val="right"/>
            </w:pPr>
            <w:r>
              <w:rPr>
                <w:rFonts w:ascii="宋体" w:eastAsia="宋体" w:hAnsi="宋体" w:cs="宋体"/>
                <w:b w:val="0"/>
                <w:i w:val="0"/>
                <w:color w:val="000000"/>
                <w:sz w:val="14"/>
              </w:rPr>
              <w:t xml:space="preserve">770,000.00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513,000.00</w:t>
            </w:r>
          </w:p>
        </w:tc>
        <w:tc>
          <w:tcPr>
            <w:tcW w:w="1240" w:type="dxa"/>
            <w:tcBorders/>
            <w:vAlign w:val="center"/>
          </w:tcPr>
          <w:p>
            <w:pPr>
              <w:snapToGrid w:val="0"/>
              <w:jc w:val="right"/>
            </w:pPr>
            <w:r>
              <w:rPr>
                <w:rFonts w:ascii="宋体" w:eastAsia="宋体" w:hAnsi="宋体" w:cs="宋体"/>
                <w:b w:val="0"/>
                <w:i w:val="0"/>
                <w:color w:val="000000"/>
                <w:sz w:val="14"/>
              </w:rPr>
              <w:t xml:space="preserve">513,000.00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257,000.00</w:t>
            </w:r>
          </w:p>
        </w:tc>
        <w:tc>
          <w:tcPr>
            <w:tcW w:w="1240" w:type="dxa"/>
            <w:tcBorders/>
            <w:vAlign w:val="center"/>
          </w:tcPr>
          <w:p>
            <w:pPr>
              <w:snapToGrid w:val="0"/>
              <w:jc w:val="right"/>
            </w:pPr>
            <w:r>
              <w:rPr>
                <w:rFonts w:ascii="宋体" w:eastAsia="宋体" w:hAnsi="宋体" w:cs="宋体"/>
                <w:b w:val="0"/>
                <w:i w:val="0"/>
                <w:color w:val="000000"/>
                <w:sz w:val="14"/>
              </w:rPr>
              <w:t xml:space="preserve">257,000.00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160,000.00</w:t>
            </w:r>
          </w:p>
        </w:tc>
        <w:tc>
          <w:tcPr>
            <w:tcW w:w="1240" w:type="dxa"/>
            <w:tcBorders/>
            <w:vAlign w:val="center"/>
          </w:tcPr>
          <w:p>
            <w:pPr>
              <w:snapToGrid w:val="0"/>
              <w:jc w:val="right"/>
            </w:pPr>
            <w:r>
              <w:rPr>
                <w:rFonts w:ascii="宋体" w:eastAsia="宋体" w:hAnsi="宋体" w:cs="宋体"/>
                <w:b w:val="0"/>
                <w:i w:val="0"/>
                <w:color w:val="000000"/>
                <w:sz w:val="14"/>
              </w:rPr>
              <w:t xml:space="preserve">160,000.00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6,247,671.83</w:t>
            </w:r>
          </w:p>
        </w:tc>
        <w:tc>
          <w:tcPr>
            <w:tcW w:w="580" w:type="dxa"/>
            <w:tcBorders/>
            <w:vAlign w:val="center"/>
          </w:tcPr>
          <w:p>
            <w:pPr>
              <w:snapToGrid w:val="0"/>
              <w:jc w:val="right"/>
            </w:pPr>
            <w:r>
              <w:rPr>
                <w:rFonts w:ascii="宋体" w:eastAsia="宋体" w:hAnsi="宋体" w:cs="宋体"/>
                <w:b w:val="0"/>
                <w:i w:val="0"/>
                <w:color w:val="000000"/>
                <w:sz w:val="9"/>
              </w:rPr>
              <w:t xml:space="preserve">6,247,671.83</w:t>
            </w:r>
          </w:p>
        </w:tc>
        <w:tc>
          <w:tcPr>
            <w:tcW w:w="580" w:type="dxa"/>
            <w:tcBorders/>
            <w:vAlign w:val="center"/>
          </w:tcPr>
          <w:p>
            <w:pPr>
              <w:snapToGrid w:val="0"/>
              <w:jc w:val="right"/>
            </w:pPr>
            <w:r>
              <w:rPr>
                <w:rFonts w:ascii="宋体" w:eastAsia="宋体" w:hAnsi="宋体" w:cs="宋体"/>
                <w:b w:val="0"/>
                <w:i w:val="0"/>
                <w:color w:val="000000"/>
                <w:sz w:val="9"/>
              </w:rPr>
              <w:t xml:space="preserve">5,913,000.00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334,671.83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615203</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华北地质勘查局职工大学</w:t>
            </w:r>
          </w:p>
        </w:tc>
        <w:tc>
          <w:tcPr>
            <w:tcW w:w="580" w:type="dxa"/>
            <w:tcBorders/>
            <w:vAlign w:val="center"/>
          </w:tcPr>
          <w:p>
            <w:pPr>
              <w:snapToGrid w:val="0"/>
              <w:jc w:val="right"/>
            </w:pPr>
            <w:r>
              <w:rPr>
                <w:rFonts w:ascii="宋体" w:eastAsia="宋体" w:hAnsi="宋体" w:cs="宋体"/>
                <w:b w:val="0"/>
                <w:i w:val="0"/>
                <w:color w:val="000000"/>
                <w:sz w:val="9"/>
              </w:rPr>
              <w:t xml:space="preserve">6,247,671.83</w:t>
            </w:r>
          </w:p>
        </w:tc>
        <w:tc>
          <w:tcPr>
            <w:tcW w:w="580" w:type="dxa"/>
            <w:tcBorders/>
            <w:vAlign w:val="center"/>
          </w:tcPr>
          <w:p>
            <w:pPr>
              <w:snapToGrid w:val="0"/>
              <w:jc w:val="right"/>
            </w:pPr>
            <w:r>
              <w:rPr>
                <w:rFonts w:ascii="宋体" w:eastAsia="宋体" w:hAnsi="宋体" w:cs="宋体"/>
                <w:b w:val="0"/>
                <w:i w:val="0"/>
                <w:color w:val="000000"/>
                <w:sz w:val="9"/>
              </w:rPr>
              <w:t xml:space="preserve">6,247,671.83</w:t>
            </w:r>
          </w:p>
        </w:tc>
        <w:tc>
          <w:tcPr>
            <w:tcW w:w="580" w:type="dxa"/>
            <w:tcBorders/>
            <w:vAlign w:val="center"/>
          </w:tcPr>
          <w:p>
            <w:pPr>
              <w:snapToGrid w:val="0"/>
              <w:jc w:val="right"/>
            </w:pPr>
            <w:r>
              <w:rPr>
                <w:rFonts w:ascii="宋体" w:eastAsia="宋体" w:hAnsi="宋体" w:cs="宋体"/>
                <w:b w:val="0"/>
                <w:i w:val="0"/>
                <w:color w:val="000000"/>
                <w:sz w:val="9"/>
              </w:rPr>
              <w:t xml:space="preserve">5,913,000.00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334,671.83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6,230,150.75</w:t>
            </w:r>
          </w:p>
        </w:tc>
        <w:tc>
          <w:tcPr>
            <w:tcW w:w="1320" w:type="dxa"/>
            <w:tcBorders/>
            <w:vAlign w:val="center"/>
          </w:tcPr>
          <w:p>
            <w:pPr>
              <w:snapToGrid w:val="0"/>
              <w:jc w:val="right"/>
            </w:pPr>
            <w:r>
              <w:rPr>
                <w:rFonts w:ascii="宋体" w:eastAsia="宋体" w:hAnsi="宋体" w:cs="宋体"/>
                <w:b w:val="0"/>
                <w:i w:val="0"/>
                <w:color w:val="000000"/>
                <w:sz w:val="15"/>
              </w:rPr>
              <w:t xml:space="preserve">6,230,150.75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20501</w:t>
            </w:r>
          </w:p>
        </w:tc>
        <w:tc>
          <w:tcPr>
            <w:tcW w:w="4400" w:type="dxa"/>
            <w:tcBorders/>
            <w:vAlign w:val="center"/>
          </w:tcPr>
          <w:p>
            <w:pPr>
              <w:snapToGrid w:val="0"/>
              <w:jc w:val="left"/>
            </w:pPr>
            <w:r>
              <w:rPr>
                <w:rFonts w:ascii="宋体" w:eastAsia="宋体" w:hAnsi="宋体" w:cs="宋体"/>
                <w:b w:val="0"/>
                <w:i w:val="0"/>
                <w:color w:val="000000"/>
                <w:sz w:val="15"/>
              </w:rPr>
              <w:t xml:space="preserve">教育管理事务</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2050199</w:t>
            </w:r>
          </w:p>
        </w:tc>
        <w:tc>
          <w:tcPr>
            <w:tcW w:w="4400" w:type="dxa"/>
            <w:tcBorders/>
            <w:vAlign w:val="center"/>
          </w:tcPr>
          <w:p>
            <w:pPr>
              <w:snapToGrid w:val="0"/>
              <w:jc w:val="left"/>
            </w:pPr>
            <w:r>
              <w:rPr>
                <w:rFonts w:ascii="宋体" w:eastAsia="宋体" w:hAnsi="宋体" w:cs="宋体"/>
                <w:b w:val="0"/>
                <w:i w:val="0"/>
                <w:color w:val="000000"/>
                <w:sz w:val="15"/>
              </w:rPr>
              <w:t xml:space="preserve">其他教育管理事务支出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snapToGrid w:val="0"/>
              <w:jc w:val="right"/>
            </w:pPr>
            <w:r>
              <w:rPr>
                <w:rFonts w:ascii="宋体" w:eastAsia="宋体" w:hAnsi="宋体" w:cs="宋体"/>
                <w:b w:val="0"/>
                <w:i w:val="0"/>
                <w:color w:val="000000"/>
                <w:sz w:val="15"/>
              </w:rPr>
              <w:t xml:space="preserve">5,260,150.75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770,000.00</w:t>
            </w:r>
          </w:p>
        </w:tc>
        <w:tc>
          <w:tcPr>
            <w:tcW w:w="1320" w:type="dxa"/>
            <w:tcBorders/>
            <w:vAlign w:val="center"/>
          </w:tcPr>
          <w:p>
            <w:pPr>
              <w:snapToGrid w:val="0"/>
              <w:jc w:val="right"/>
            </w:pPr>
            <w:r>
              <w:rPr>
                <w:rFonts w:ascii="宋体" w:eastAsia="宋体" w:hAnsi="宋体" w:cs="宋体"/>
                <w:b w:val="0"/>
                <w:i w:val="0"/>
                <w:color w:val="000000"/>
                <w:sz w:val="15"/>
              </w:rPr>
              <w:t xml:space="preserve">770,000.00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770,000.00</w:t>
            </w:r>
          </w:p>
        </w:tc>
        <w:tc>
          <w:tcPr>
            <w:tcW w:w="1320" w:type="dxa"/>
            <w:tcBorders/>
            <w:vAlign w:val="center"/>
          </w:tcPr>
          <w:p>
            <w:pPr>
              <w:snapToGrid w:val="0"/>
              <w:jc w:val="right"/>
            </w:pPr>
            <w:r>
              <w:rPr>
                <w:rFonts w:ascii="宋体" w:eastAsia="宋体" w:hAnsi="宋体" w:cs="宋体"/>
                <w:b w:val="0"/>
                <w:i w:val="0"/>
                <w:color w:val="000000"/>
                <w:sz w:val="15"/>
              </w:rPr>
              <w:t xml:space="preserve">770,000.00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513,000.00</w:t>
            </w:r>
          </w:p>
        </w:tc>
        <w:tc>
          <w:tcPr>
            <w:tcW w:w="1320" w:type="dxa"/>
            <w:tcBorders/>
            <w:vAlign w:val="center"/>
          </w:tcPr>
          <w:p>
            <w:pPr>
              <w:snapToGrid w:val="0"/>
              <w:jc w:val="right"/>
            </w:pPr>
            <w:r>
              <w:rPr>
                <w:rFonts w:ascii="宋体" w:eastAsia="宋体" w:hAnsi="宋体" w:cs="宋体"/>
                <w:b w:val="0"/>
                <w:i w:val="0"/>
                <w:color w:val="000000"/>
                <w:sz w:val="15"/>
              </w:rPr>
              <w:t xml:space="preserve">513,000.00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257,000.00</w:t>
            </w:r>
          </w:p>
        </w:tc>
        <w:tc>
          <w:tcPr>
            <w:tcW w:w="1320" w:type="dxa"/>
            <w:tcBorders/>
            <w:vAlign w:val="center"/>
          </w:tcPr>
          <w:p>
            <w:pPr>
              <w:snapToGrid w:val="0"/>
              <w:jc w:val="right"/>
            </w:pPr>
            <w:r>
              <w:rPr>
                <w:rFonts w:ascii="宋体" w:eastAsia="宋体" w:hAnsi="宋体" w:cs="宋体"/>
                <w:b w:val="0"/>
                <w:i w:val="0"/>
                <w:color w:val="000000"/>
                <w:sz w:val="15"/>
              </w:rPr>
              <w:t xml:space="preserve">257,000.00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160,000.00</w:t>
            </w:r>
          </w:p>
        </w:tc>
        <w:tc>
          <w:tcPr>
            <w:tcW w:w="1320" w:type="dxa"/>
            <w:tcBorders/>
            <w:vAlign w:val="center"/>
          </w:tcPr>
          <w:p>
            <w:pPr>
              <w:snapToGrid w:val="0"/>
              <w:jc w:val="right"/>
            </w:pPr>
            <w:r>
              <w:rPr>
                <w:rFonts w:ascii="宋体" w:eastAsia="宋体" w:hAnsi="宋体" w:cs="宋体"/>
                <w:b w:val="0"/>
                <w:i w:val="0"/>
                <w:color w:val="000000"/>
                <w:sz w:val="15"/>
              </w:rPr>
              <w:t xml:space="preserve">160,000.00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4,943,000.00</w:t>
            </w:r>
          </w:p>
        </w:tc>
        <w:tc>
          <w:tcPr>
            <w:tcW w:w="1420" w:type="dxa"/>
            <w:tcBorders/>
            <w:vAlign w:val="center"/>
          </w:tcPr>
          <w:p>
            <w:pPr>
              <w:snapToGrid w:val="0"/>
              <w:jc w:val="right"/>
            </w:pPr>
            <w:r>
              <w:rPr>
                <w:rFonts w:ascii="宋体" w:eastAsia="宋体" w:hAnsi="宋体" w:cs="宋体"/>
                <w:b w:val="0"/>
                <w:i w:val="0"/>
                <w:color w:val="000000"/>
                <w:sz w:val="16"/>
              </w:rPr>
              <w:t xml:space="preserve">4,943,000.00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770,000.00</w:t>
            </w:r>
          </w:p>
        </w:tc>
        <w:tc>
          <w:tcPr>
            <w:tcW w:w="1420" w:type="dxa"/>
            <w:tcBorders/>
            <w:vAlign w:val="center"/>
          </w:tcPr>
          <w:p>
            <w:pPr>
              <w:snapToGrid w:val="0"/>
              <w:jc w:val="right"/>
            </w:pPr>
            <w:r>
              <w:rPr>
                <w:rFonts w:ascii="宋体" w:eastAsia="宋体" w:hAnsi="宋体" w:cs="宋体"/>
                <w:b w:val="0"/>
                <w:i w:val="0"/>
                <w:color w:val="000000"/>
                <w:sz w:val="16"/>
              </w:rPr>
              <w:t xml:space="preserve">770,000.00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200,000.00</w:t>
            </w:r>
          </w:p>
        </w:tc>
        <w:tc>
          <w:tcPr>
            <w:tcW w:w="1420" w:type="dxa"/>
            <w:tcBorders/>
            <w:vAlign w:val="center"/>
          </w:tcPr>
          <w:p>
            <w:pPr>
              <w:snapToGrid w:val="0"/>
              <w:jc w:val="right"/>
            </w:pPr>
            <w:r>
              <w:rPr>
                <w:rFonts w:ascii="宋体" w:eastAsia="宋体" w:hAnsi="宋体" w:cs="宋体"/>
                <w:b w:val="0"/>
                <w:i w:val="0"/>
                <w:color w:val="000000"/>
                <w:sz w:val="16"/>
              </w:rPr>
              <w:t xml:space="preserve">200,000.00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1420" w:type="dxa"/>
            <w:tcBorders/>
            <w:vAlign w:val="center"/>
          </w:tcPr>
          <w:p>
            <w:pPr>
              <w:snapToGrid w:val="0"/>
              <w:jc w:val="right"/>
            </w:pPr>
            <w:r>
              <w:rPr>
                <w:rFonts w:ascii="宋体" w:eastAsia="宋体" w:hAnsi="宋体" w:cs="宋体"/>
                <w:b w:val="0"/>
                <w:i w:val="0"/>
                <w:color w:val="000000"/>
                <w:sz w:val="16"/>
              </w:rPr>
              <w:t xml:space="preserve">5,913,000.00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5,913,000.00</w:t>
            </w:r>
          </w:p>
        </w:tc>
        <w:tc>
          <w:tcPr>
            <w:tcW w:w="1720" w:type="dxa"/>
            <w:tcBorders/>
            <w:vAlign w:val="center"/>
          </w:tcPr>
          <w:p>
            <w:pPr>
              <w:snapToGrid w:val="0"/>
              <w:jc w:val="right"/>
            </w:pPr>
            <w:r>
              <w:rPr>
                <w:rFonts w:ascii="宋体" w:eastAsia="宋体" w:hAnsi="宋体" w:cs="宋体"/>
                <w:b w:val="0"/>
                <w:i w:val="0"/>
                <w:color w:val="000000"/>
                <w:sz w:val="20"/>
              </w:rPr>
              <w:t xml:space="preserve">5,913,000.00</w:t>
            </w:r>
          </w:p>
        </w:tc>
        <w:tc>
          <w:tcPr>
            <w:tcW w:w="1720" w:type="dxa"/>
            <w:tcBorders/>
            <w:vAlign w:val="center"/>
          </w:tcPr>
          <w:p>
            <w:pPr>
              <w:snapToGrid w:val="0"/>
              <w:jc w:val="right"/>
            </w:pPr>
            <w:r>
              <w:rPr>
                <w:rFonts w:ascii="宋体" w:eastAsia="宋体" w:hAnsi="宋体" w:cs="宋体"/>
                <w:b w:val="0"/>
                <w:i w:val="0"/>
                <w:color w:val="000000"/>
                <w:sz w:val="20"/>
              </w:rPr>
              <w:t xml:space="preserve">5,913,000.00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20501</w:t>
            </w:r>
          </w:p>
        </w:tc>
        <w:tc>
          <w:tcPr>
            <w:tcW w:w="3480" w:type="dxa"/>
            <w:tcBorders/>
            <w:vAlign w:val="center"/>
          </w:tcPr>
          <w:p>
            <w:pPr>
              <w:snapToGrid w:val="0"/>
              <w:jc w:val="left"/>
            </w:pPr>
            <w:r>
              <w:rPr>
                <w:rFonts w:ascii="宋体" w:eastAsia="宋体" w:hAnsi="宋体" w:cs="宋体"/>
                <w:b w:val="0"/>
                <w:i w:val="0"/>
                <w:color w:val="000000"/>
                <w:sz w:val="20"/>
              </w:rPr>
              <w:t xml:space="preserve">教育管理事务</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2050199</w:t>
            </w:r>
          </w:p>
        </w:tc>
        <w:tc>
          <w:tcPr>
            <w:tcW w:w="3480" w:type="dxa"/>
            <w:tcBorders/>
            <w:vAlign w:val="center"/>
          </w:tcPr>
          <w:p>
            <w:pPr>
              <w:snapToGrid w:val="0"/>
              <w:jc w:val="left"/>
            </w:pPr>
            <w:r>
              <w:rPr>
                <w:rFonts w:ascii="宋体" w:eastAsia="宋体" w:hAnsi="宋体" w:cs="宋体"/>
                <w:b w:val="0"/>
                <w:i w:val="0"/>
                <w:color w:val="000000"/>
                <w:sz w:val="20"/>
              </w:rPr>
              <w:t xml:space="preserve">其他教育管理事务支出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snapToGrid w:val="0"/>
              <w:jc w:val="right"/>
            </w:pPr>
            <w:r>
              <w:rPr>
                <w:rFonts w:ascii="宋体" w:eastAsia="宋体" w:hAnsi="宋体" w:cs="宋体"/>
                <w:b w:val="0"/>
                <w:i w:val="0"/>
                <w:color w:val="000000"/>
                <w:sz w:val="20"/>
              </w:rPr>
              <w:t xml:space="preserve">4,943,000.00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snapToGrid w:val="0"/>
              <w:jc w:val="right"/>
            </w:pPr>
            <w:r>
              <w:rPr>
                <w:rFonts w:ascii="宋体" w:eastAsia="宋体" w:hAnsi="宋体" w:cs="宋体"/>
                <w:b w:val="0"/>
                <w:i w:val="0"/>
                <w:color w:val="000000"/>
                <w:sz w:val="20"/>
              </w:rPr>
              <w:t xml:space="preserve">770,000.00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513,000.00</w:t>
            </w:r>
          </w:p>
        </w:tc>
        <w:tc>
          <w:tcPr>
            <w:tcW w:w="1720" w:type="dxa"/>
            <w:tcBorders/>
            <w:vAlign w:val="center"/>
          </w:tcPr>
          <w:p>
            <w:pPr>
              <w:snapToGrid w:val="0"/>
              <w:jc w:val="right"/>
            </w:pPr>
            <w:r>
              <w:rPr>
                <w:rFonts w:ascii="宋体" w:eastAsia="宋体" w:hAnsi="宋体" w:cs="宋体"/>
                <w:b w:val="0"/>
                <w:i w:val="0"/>
                <w:color w:val="000000"/>
                <w:sz w:val="20"/>
              </w:rPr>
              <w:t xml:space="preserve">513,000.00</w:t>
            </w:r>
          </w:p>
        </w:tc>
        <w:tc>
          <w:tcPr>
            <w:tcW w:w="1720" w:type="dxa"/>
            <w:tcBorders/>
            <w:vAlign w:val="center"/>
          </w:tcPr>
          <w:p>
            <w:pPr>
              <w:snapToGrid w:val="0"/>
              <w:jc w:val="right"/>
            </w:pPr>
            <w:r>
              <w:rPr>
                <w:rFonts w:ascii="宋体" w:eastAsia="宋体" w:hAnsi="宋体" w:cs="宋体"/>
                <w:b w:val="0"/>
                <w:i w:val="0"/>
                <w:color w:val="000000"/>
                <w:sz w:val="20"/>
              </w:rPr>
              <w:t xml:space="preserve">513,000.00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257,000.00</w:t>
            </w:r>
          </w:p>
        </w:tc>
        <w:tc>
          <w:tcPr>
            <w:tcW w:w="1720" w:type="dxa"/>
            <w:tcBorders/>
            <w:vAlign w:val="center"/>
          </w:tcPr>
          <w:p>
            <w:pPr>
              <w:snapToGrid w:val="0"/>
              <w:jc w:val="right"/>
            </w:pPr>
            <w:r>
              <w:rPr>
                <w:rFonts w:ascii="宋体" w:eastAsia="宋体" w:hAnsi="宋体" w:cs="宋体"/>
                <w:b w:val="0"/>
                <w:i w:val="0"/>
                <w:color w:val="000000"/>
                <w:sz w:val="20"/>
              </w:rPr>
              <w:t xml:space="preserve">257,000.00</w:t>
            </w:r>
          </w:p>
        </w:tc>
        <w:tc>
          <w:tcPr>
            <w:tcW w:w="1720" w:type="dxa"/>
            <w:tcBorders/>
            <w:vAlign w:val="center"/>
          </w:tcPr>
          <w:p>
            <w:pPr>
              <w:snapToGrid w:val="0"/>
              <w:jc w:val="right"/>
            </w:pPr>
            <w:r>
              <w:rPr>
                <w:rFonts w:ascii="宋体" w:eastAsia="宋体" w:hAnsi="宋体" w:cs="宋体"/>
                <w:b w:val="0"/>
                <w:i w:val="0"/>
                <w:color w:val="000000"/>
                <w:sz w:val="20"/>
              </w:rPr>
              <w:t xml:space="preserve">257,000.00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160,000.00</w:t>
            </w:r>
          </w:p>
        </w:tc>
        <w:tc>
          <w:tcPr>
            <w:tcW w:w="1720" w:type="dxa"/>
            <w:tcBorders/>
            <w:vAlign w:val="center"/>
          </w:tcPr>
          <w:p>
            <w:pPr>
              <w:snapToGrid w:val="0"/>
              <w:jc w:val="right"/>
            </w:pPr>
            <w:r>
              <w:rPr>
                <w:rFonts w:ascii="宋体" w:eastAsia="宋体" w:hAnsi="宋体" w:cs="宋体"/>
                <w:b w:val="0"/>
                <w:i w:val="0"/>
                <w:color w:val="000000"/>
                <w:sz w:val="20"/>
              </w:rPr>
              <w:t xml:space="preserve">160,000.00</w:t>
            </w:r>
          </w:p>
        </w:tc>
        <w:tc>
          <w:tcPr>
            <w:tcW w:w="1720" w:type="dxa"/>
            <w:tcBorders/>
            <w:vAlign w:val="center"/>
          </w:tcPr>
          <w:p>
            <w:pPr>
              <w:snapToGrid w:val="0"/>
              <w:jc w:val="right"/>
            </w:pPr>
            <w:r>
              <w:rPr>
                <w:rFonts w:ascii="宋体" w:eastAsia="宋体" w:hAnsi="宋体" w:cs="宋体"/>
                <w:b w:val="0"/>
                <w:i w:val="0"/>
                <w:color w:val="000000"/>
                <w:sz w:val="20"/>
              </w:rPr>
              <w:t xml:space="preserve">160,000.00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5,812,318.80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1,598,620.07</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615,554.68</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2,013,241.78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513,000.00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257,000.00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199,000.00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57,257.27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558,645.00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100,681.20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99,681.20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5,913,000.00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华北地质勘查局职工大学2024年度政府性基金预算财政拨款收入支出决算表为空表。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华北地质勘查局职工大学2024年国有资本经营预算财政拨款收入支出决算表为空表。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华北地质勘查局职工大学2024年财政拨款“三公”经费支出决算表为空表。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单位：华北地质勘查局职工大学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华北地质勘查局职工大学2024年项目支出决算表为空表。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华北地质勘查局职工大学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6,247,671.83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减少1,752,847.14元，下降21.909%</w:t>
      </w:r>
      <w:r>
        <w:rPr>
          <w:rFonts w:eastAsia="仿宋_GB2312" w:hint="eastAsia"/>
          <w:sz w:val="30"/>
          <w:szCs w:val="30"/>
        </w:rPr>
        <w:t xml:space="preserve">，主要原因是</w:t>
      </w:r>
      <w:r>
        <w:rPr>
          <w:rFonts w:eastAsia="仿宋_GB2312" w:hint="eastAsia"/>
          <w:sz w:val="30"/>
          <w:szCs w:val="30"/>
        </w:rPr>
        <w:t xml:space="preserve">收支总计中未包含年末非财结余和专用结余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一般公共预算财政拨款收入5,913,000.00元、其他收入334,671.83元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教育支出5,260,150.75元、社会保障和就业支出770,000.00元、卫生健康支出200,000.00元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w:t>
      </w:r>
      <w:r>
        <w:rPr>
          <w:rFonts w:eastAsia="仿宋_GB2312" w:hint="eastAsia"/>
          <w:sz w:val="30"/>
          <w:szCs w:val="30"/>
        </w:rPr>
        <w:t xml:space="preserve">2024年度本年收入合计</w:t>
      </w:r>
      <w:r>
        <w:rPr>
          <w:rFonts w:eastAsia="仿宋_GB2312" w:hint="eastAsia"/>
          <w:sz w:val="30"/>
          <w:szCs w:val="30"/>
        </w:rPr>
        <w:t xml:space="preserve">6,247,671.83</w:t>
      </w:r>
      <w:r>
        <w:rPr>
          <w:rFonts w:eastAsia="仿宋_GB2312" w:hint="eastAsia"/>
          <w:sz w:val="30"/>
          <w:szCs w:val="30"/>
        </w:rPr>
        <w:t xml:space="preserve">元，与2023年度相比</w:t>
      </w:r>
      <w:r>
        <w:rPr>
          <w:rFonts w:eastAsia="仿宋_GB2312" w:hint="eastAsia"/>
          <w:sz w:val="30"/>
          <w:szCs w:val="30"/>
        </w:rPr>
        <w:t xml:space="preserve">减少116,241.77元，</w:t>
      </w:r>
      <w:r>
        <w:rPr>
          <w:rFonts w:eastAsia="仿宋_GB2312" w:hint="eastAsia"/>
          <w:sz w:val="30"/>
          <w:szCs w:val="30"/>
        </w:rPr>
        <w:t xml:space="preserve">主要原因是</w:t>
      </w:r>
      <w:r>
        <w:rPr>
          <w:rFonts w:eastAsia="仿宋_GB2312" w:hint="eastAsia"/>
          <w:sz w:val="30"/>
          <w:szCs w:val="30"/>
        </w:rPr>
        <w:t xml:space="preserve">一般公共预算财政拨款收入减少</w:t>
      </w:r>
      <w:r>
        <w:rPr>
          <w:rFonts w:eastAsia="仿宋_GB2312" w:hint="eastAsia"/>
          <w:sz w:val="30"/>
          <w:szCs w:val="30"/>
        </w:rPr>
        <w:t xml:space="preserve">。其中：</w:t>
      </w:r>
      <w:r>
        <w:rPr>
          <w:rFonts w:eastAsia="仿宋_GB2312" w:hint="eastAsia"/>
          <w:sz w:val="30"/>
          <w:szCs w:val="30"/>
        </w:rPr>
        <w:t xml:space="preserve">一般公共预算财政拨款收入5,913,000.00元，占94.643%；其他收入334,671.83元，占5.357%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6,230,150.75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减少116,241.77元，</w:t>
      </w:r>
      <w:r>
        <w:rPr>
          <w:rFonts w:eastAsia="仿宋_GB2312" w:hint="eastAsia"/>
          <w:sz w:val="30"/>
          <w:szCs w:val="30"/>
        </w:rPr>
        <w:t xml:space="preserve">主要原因是</w:t>
      </w:r>
      <w:r>
        <w:rPr>
          <w:rFonts w:eastAsia="仿宋_GB2312" w:hint="eastAsia"/>
          <w:sz w:val="30"/>
          <w:szCs w:val="30"/>
        </w:rPr>
        <w:t xml:space="preserve">基本支出减少</w:t>
      </w:r>
      <w:r>
        <w:rPr>
          <w:rFonts w:eastAsia="仿宋_GB2312" w:hint="eastAsia"/>
          <w:sz w:val="30"/>
          <w:szCs w:val="30"/>
        </w:rPr>
        <w:t xml:space="preserve">。其中：</w:t>
      </w:r>
      <w:r>
        <w:rPr>
          <w:rFonts w:eastAsia="仿宋_GB2312" w:hint="eastAsia"/>
          <w:sz w:val="30"/>
          <w:szCs w:val="30"/>
        </w:rPr>
        <w:t xml:space="preserve">基本支出6,230,150.75元，占100.000%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华北地质勘查局职工大学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5,913,000.00</w:t>
      </w:r>
      <w:r>
        <w:rPr>
          <w:rFonts w:eastAsia="仿宋_GB2312" w:hint="eastAsia"/>
          <w:sz w:val="30"/>
          <w:szCs w:val="30"/>
        </w:rPr>
        <w:t xml:space="preserve">元。与2023年度相比，财政拨款收、支总计各</w:t>
      </w:r>
      <w:r>
        <w:rPr>
          <w:rFonts w:eastAsia="仿宋_GB2312" w:hint="eastAsia"/>
          <w:sz w:val="30"/>
          <w:szCs w:val="30"/>
        </w:rPr>
        <w:t xml:space="preserve">减少147,000.00元，下降2.426%，</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一般公共预算财政拨款5,913,000.00元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教育支出4,943,000.00元、社会保障和就业支出770,000.00元、卫生健康支出200,000.00元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华北地质勘查局职工大学2024年度部门决算一般公共预算财政拨款支出合计5,913,000.00元，占本年支出合计的94.909%。与2023年度相比，一般公共预算财政拨款支出</w:t>
      </w:r>
      <w:r>
        <w:rPr>
          <w:rFonts w:eastAsia="仿宋_GB2312" w:hint="eastAsia"/>
          <w:sz w:val="30"/>
          <w:szCs w:val="30"/>
        </w:rPr>
        <w:t xml:space="preserve">减少147,000.00元</w:t>
      </w:r>
      <w:r>
        <w:rPr>
          <w:rFonts w:eastAsia="仿宋_GB2312" w:hint="eastAsia"/>
          <w:sz w:val="30"/>
          <w:szCs w:val="30"/>
        </w:rPr>
        <w:t xml:space="preserve">，下降2.426%</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2024年度一般公共预算财政拨款支出5,913,000.00元，主要用于以下方面：</w:t>
      </w:r>
      <w:r>
        <w:rPr>
          <w:rFonts w:eastAsia="仿宋_GB2312" w:hint="eastAsia"/>
          <w:sz w:val="30"/>
          <w:szCs w:val="30"/>
        </w:rPr>
        <w:t xml:space="preserve">教育支出（类）支出4,943,000.00元，占83.595%,社会保障和就业支出（类）支出770,000.00元，占13.022%,卫生健康支出（类）支出200,000.00元，占3.382%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2024年度一般公共预算财政拨款支出年初预算为5,913,000.00元，支出决算为5,913,000.00元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1.教育支出（类）教育管理事务（款）其他教育管理事务支出（项）年初预算为4,943,000.00元，支出决算为4,943,000.00元，完成年初预算的100.000%，决算数与预算数持平的主要原因是：厉行节约，严格按照预算执行。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513,000.00元，支出决算为513,000.00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257,000.00元，支出决算为257,000.00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4.卫生健康支出（类）行政事业单位医疗（款）事业单位医疗（项）年初预算为160,000.00元，支出决算为160,000.00元，完成年初预算的100.000%，决算数与预算数持平的主要原因是：厉行节约，严格按照预算执行。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40,000.00元，支出决算为40,000.00元，完成年初预算的100.000%，决算数与预算数持平的主要原因是：厉行节约，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5,913,000.00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减少147,000.00元，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人员经费5,913,000.00元，主要包括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华北地质勘查局职工大学2024年度无政府性基金预算财政拨款收入、支出和结转结余。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华北地质勘查局职工大学2024年度无机关运行经费。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华北地质勘查局职工大学2024年度无政府采购支出。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华北地质勘查局职工大学2024年度无国有资产占有使用情况。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华北地质勘查局职工大学2024年度没有项目支出，无需开展部门评价。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华北地质勘查局职工大学不属于乡、镇、街级单位，不涉及公开2024年度教育、医疗卫生、社会保障和就业、住房保障、涉农补贴等民生支出情况。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